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left"/>
      </w:pPr>
      <w:r>
        <w:rPr>
          <w:b/>
          <w:bCs/>
          <w:sz w:val="28"/>
          <w:szCs w:val="28"/>
        </w:rPr>
        <w:t xml:space="preserve">UNYKORN</w:t>
      </w:r>
    </w:p>
    <w:p>
      <w:pPr>
        <w:spacing w:after="60"/>
      </w:pPr>
      <w:r>
        <w:rPr>
          <w:i/>
          <w:iCs/>
          <w:sz w:val="18"/>
          <w:szCs w:val="18"/>
        </w:rPr>
        <w:t xml:space="preserve">Sovereign Digital Asset Management | Blockchain &amp; RWA Infrastructure</w:t>
      </w:r>
    </w:p>
    <w:p>
      <w:pPr>
        <w:spacing w:after="200"/>
      </w:pPr>
      <w:r>
        <w:rPr>
          <w:sz w:val="22"/>
          <w:szCs w:val="22"/>
        </w:rPr>
        <w:t xml:space="preserve">July 14, 2026</w:t>
      </w:r>
    </w:p>
    <w:p>
      <w:pPr>
        <w:spacing w:after="60"/>
      </w:pPr>
      <w:r>
        <w:rPr>
          <w:b/>
          <w:bCs/>
          <w:sz w:val="22"/>
          <w:szCs w:val="22"/>
        </w:rPr>
        <w:t xml:space="preserve">Paresh Govan, CEO &amp; Founder</w:t>
      </w:r>
    </w:p>
    <w:p>
      <w:pPr>
        <w:spacing w:after="60"/>
      </w:pPr>
      <w:r>
        <w:rPr>
          <w:sz w:val="22"/>
          <w:szCs w:val="22"/>
        </w:rPr>
        <w:t xml:space="preserve">Fine Mulligans, Inc. (d/b/a Kiwi's Mulligan)</w:t>
      </w:r>
    </w:p>
    <w:p>
      <w:pPr>
        <w:spacing w:after="200"/>
      </w:pPr>
      <w:r>
        <w:rPr>
          <w:sz w:val="22"/>
          <w:szCs w:val="22"/>
        </w:rPr>
        <w:t xml:space="preserve">Via Email</w:t>
      </w:r>
    </w:p>
    <w:p>
      <w:pPr>
        <w:spacing w:after="200"/>
      </w:pPr>
      <w:r>
        <w:rPr>
          <w:b/>
          <w:bCs/>
          <w:sz w:val="22"/>
          <w:szCs w:val="22"/>
        </w:rPr>
        <w:t xml:space="preserve">Re: Formal Information Request List (IRL) — Phase 1 Due Diligence for Kiwi's Mulligan 1, LLC / #KiwisMulligan1 Joint Venture Opportunity</w:t>
      </w:r>
    </w:p>
    <w:p>
      <w:pPr>
        <w:spacing w:after="200"/>
      </w:pPr>
      <w:r>
        <w:rPr>
          <w:sz w:val="22"/>
          <w:szCs w:val="22"/>
        </w:rPr>
        <w:t xml:space="preserve">Dear Paresh,</w:t>
      </w:r>
    </w:p>
    <w:p>
      <w:pPr>
        <w:spacing w:after="200"/>
      </w:pPr>
      <w:r>
        <w:rPr>
          <w:sz w:val="22"/>
          <w:szCs w:val="22"/>
        </w:rPr>
        <w:t xml:space="preserve">Thank you for the detailed proposal and ongoing discussions regarding the Kiwi's Mulligan 1, LLC project and the proposed $27.5M private equity placement via Castle Placement. UnyKorn is interested in exploring a strategic joint venture that could include capital participation, operational alignment, and Web3/RWA tokenization infrastructure to enhance liquidity, yield distribution, and investor access.</w:t>
      </w:r>
    </w:p>
    <w:p>
      <w:pPr>
        <w:spacing w:after="200"/>
      </w:pPr>
      <w:r>
        <w:rPr>
          <w:sz w:val="22"/>
          <w:szCs w:val="22"/>
        </w:rPr>
        <w:t xml:space="preserve">To proceed to formal evaluation and potential integration under our Capital &amp; Joint Ventures framework, we require the following information and documentation. This request is made in connection with our standard pre-underwriting and compliance review process. All materials will be treated as Confidential Information under the Mutual Non-Disclosure Agreement (MNDA) we are providing concurrently.</w:t>
      </w:r>
    </w:p>
    <w:p>
      <w:pPr>
        <w:spacing w:after="200"/>
      </w:pPr>
      <w:r>
        <w:rPr>
          <w:sz w:val="22"/>
          <w:szCs w:val="22"/>
        </w:rPr>
        <w:t xml:space="preserve">Please execute and return the attached MNDA first. Upon receipt of the signed MNDA, we request delivery of the items below within seven (7) business days. Incomplete or delayed responses may impact our ability to advance the opportunity on the timeline you have outlined.</w:t>
      </w:r>
    </w:p>
    <w:p>
      <w:pPr>
        <w:pStyle w:val="Heading1"/>
      </w:pPr>
      <w:r>
        <w:t xml:space="preserve">1. Legal Structure, Cap Table &amp; Bad Actor Severance (Highest Priority)</w:t>
      </w:r>
    </w:p>
    <w:p>
      <w:pPr>
        <w:pStyle w:val="ListParagraph"/>
        <w:numPr>
          <w:ilvl w:val="0"/>
          <w:numId w:val="2"/>
        </w:numPr>
        <w:spacing w:after="80"/>
      </w:pPr>
      <w:r>
        <w:rPr>
          <w:sz w:val="22"/>
          <w:szCs w:val="22"/>
        </w:rPr>
        <w:t xml:space="preserve">Executed Severance / Release Agreement(s) proving the "bad actor" investor has been fully paid out, removed from the capitalization table, and has executed mutual releases of all claims (past, present, and future) against Fine Mulligans, Inc., Kiwi's Mulligan 1, LLC, its officers, directors, and affiliates.</w:t>
      </w:r>
    </w:p>
    <w:p>
      <w:pPr>
        <w:pStyle w:val="ListParagraph"/>
        <w:numPr>
          <w:ilvl w:val="0"/>
          <w:numId w:val="2"/>
        </w:numPr>
        <w:spacing w:after="80"/>
      </w:pPr>
      <w:r>
        <w:rPr>
          <w:sz w:val="22"/>
          <w:szCs w:val="22"/>
        </w:rPr>
        <w:t xml:space="preserve">Current and complete capitalization table (pre- and post- any proposed Castle Placement round), showing all classes of equity, options, warrants, convertible instruments, and any outstanding debt or claims.</w:t>
      </w:r>
    </w:p>
    <w:p>
      <w:pPr>
        <w:pStyle w:val="ListParagraph"/>
        <w:numPr>
          <w:ilvl w:val="0"/>
          <w:numId w:val="2"/>
        </w:numPr>
        <w:spacing w:after="80"/>
      </w:pPr>
      <w:r>
        <w:rPr>
          <w:sz w:val="22"/>
          <w:szCs w:val="22"/>
        </w:rPr>
        <w:t xml:space="preserve">Full legal name, background details, and nature of the disqualifying event or misrepresentation by the bad actor investor (to the extent not already disclosed in SEC filings).</w:t>
      </w:r>
    </w:p>
    <w:p>
      <w:pPr>
        <w:pStyle w:val="ListParagraph"/>
        <w:numPr>
          <w:ilvl w:val="0"/>
          <w:numId w:val="2"/>
        </w:numPr>
        <w:spacing w:after="80"/>
      </w:pPr>
      <w:r>
        <w:rPr>
          <w:sz w:val="22"/>
          <w:szCs w:val="22"/>
        </w:rPr>
        <w:t xml:space="preserve">Confirmation and supporting documentation that the bad actor investor holds no residual economic interest, voting rights, information rights, or any other claims in the Company or the project.</w:t>
      </w:r>
    </w:p>
    <w:p>
      <w:pPr>
        <w:pStyle w:val="ListParagraph"/>
        <w:numPr>
          <w:ilvl w:val="0"/>
          <w:numId w:val="2"/>
        </w:numPr>
        <w:spacing w:after="160"/>
      </w:pPr>
      <w:r>
        <w:rPr>
          <w:sz w:val="22"/>
          <w:szCs w:val="22"/>
        </w:rPr>
        <w:t xml:space="preserve">Any litigation, arbitration, or threatened claims involving the bad actor investor or related parties.</w:t>
      </w:r>
    </w:p>
    <w:p>
      <w:pPr>
        <w:pStyle w:val="Heading1"/>
      </w:pPr>
      <w:r>
        <w:t xml:space="preserve">2. Regulatory &amp; SEC Documentation</w:t>
      </w:r>
    </w:p>
    <w:p>
      <w:pPr>
        <w:pStyle w:val="ListParagraph"/>
        <w:numPr>
          <w:ilvl w:val="0"/>
          <w:numId w:val="2"/>
        </w:numPr>
        <w:spacing w:after="80"/>
      </w:pPr>
      <w:r>
        <w:rPr>
          <w:sz w:val="22"/>
          <w:szCs w:val="22"/>
        </w:rPr>
        <w:t xml:space="preserve">Complete SEC Form 1-A (including all exhibits, amendments, and correspondence) for the prior Regulation A+ offering by Fine Mulligans, Inc.</w:t>
      </w:r>
    </w:p>
    <w:p>
      <w:pPr>
        <w:pStyle w:val="ListParagraph"/>
        <w:numPr>
          <w:ilvl w:val="0"/>
          <w:numId w:val="2"/>
        </w:numPr>
        <w:spacing w:after="80"/>
      </w:pPr>
      <w:r>
        <w:rPr>
          <w:sz w:val="22"/>
          <w:szCs w:val="22"/>
        </w:rPr>
        <w:t xml:space="preserve">Formal notice, withdrawal letter, or SEC correspondence confirming the status of the Regulation A+ filing (halted, withdrawn, or otherwise).</w:t>
      </w:r>
    </w:p>
    <w:p>
      <w:pPr>
        <w:pStyle w:val="ListParagraph"/>
        <w:numPr>
          <w:ilvl w:val="0"/>
          <w:numId w:val="2"/>
        </w:numPr>
        <w:spacing w:after="80"/>
      </w:pPr>
      <w:r>
        <w:rPr>
          <w:sz w:val="22"/>
          <w:szCs w:val="22"/>
        </w:rPr>
        <w:t xml:space="preserve">Any amendments, qualified offering circulars, or post-qualification filings related to the $48M Reg A+ raise.</w:t>
      </w:r>
    </w:p>
    <w:p>
      <w:pPr>
        <w:pStyle w:val="ListParagraph"/>
        <w:numPr>
          <w:ilvl w:val="0"/>
          <w:numId w:val="2"/>
        </w:numPr>
        <w:spacing w:after="160"/>
      </w:pPr>
      <w:r>
        <w:rPr>
          <w:sz w:val="22"/>
          <w:szCs w:val="22"/>
        </w:rPr>
        <w:t xml:space="preserve">Details of any communications with the SEC, Texture Capital, or other regulators regarding the bad actor issue or filing status.</w:t>
      </w:r>
    </w:p>
    <w:p>
      <w:pPr>
        <w:pStyle w:val="Heading1"/>
      </w:pPr>
      <w:r>
        <w:t xml:space="preserve">3. Castle Placement &amp; Capital Raise Documentation</w:t>
      </w:r>
    </w:p>
    <w:p>
      <w:pPr>
        <w:pStyle w:val="ListParagraph"/>
        <w:numPr>
          <w:ilvl w:val="0"/>
          <w:numId w:val="2"/>
        </w:numPr>
        <w:spacing w:after="80"/>
      </w:pPr>
      <w:r>
        <w:rPr>
          <w:sz w:val="22"/>
          <w:szCs w:val="22"/>
        </w:rPr>
        <w:t xml:space="preserve">Executed Castle Placement engagement letter, placement agent agreement, or underwriting agreement for the $27.5M private equity offering.</w:t>
      </w:r>
    </w:p>
    <w:p>
      <w:pPr>
        <w:pStyle w:val="ListParagraph"/>
        <w:numPr>
          <w:ilvl w:val="0"/>
          <w:numId w:val="2"/>
        </w:numPr>
        <w:spacing w:after="80"/>
      </w:pPr>
      <w:r>
        <w:rPr>
          <w:sz w:val="22"/>
          <w:szCs w:val="22"/>
        </w:rPr>
        <w:t xml:space="preserve">Sources &amp; Uses memorandum or schedule dated on or around July 2, 2026 (or most recent), detailing use of proceeds, fee structure, and confirmation that Castle Placement fees are fully wrapped into the raise with no upfront GP capital call.</w:t>
      </w:r>
    </w:p>
    <w:p>
      <w:pPr>
        <w:pStyle w:val="ListParagraph"/>
        <w:numPr>
          <w:ilvl w:val="0"/>
          <w:numId w:val="2"/>
        </w:numPr>
        <w:spacing w:after="80"/>
      </w:pPr>
      <w:r>
        <w:rPr>
          <w:sz w:val="22"/>
          <w:szCs w:val="22"/>
        </w:rPr>
        <w:t xml:space="preserve">Term sheet, investor presentation, or private placement memorandum for the current $27.5M all-equity raise.</w:t>
      </w:r>
    </w:p>
    <w:p>
      <w:pPr>
        <w:pStyle w:val="ListParagraph"/>
        <w:numPr>
          <w:ilvl w:val="0"/>
          <w:numId w:val="2"/>
        </w:numPr>
        <w:spacing w:after="160"/>
      </w:pPr>
      <w:r>
        <w:rPr>
          <w:sz w:val="22"/>
          <w:szCs w:val="22"/>
        </w:rPr>
        <w:t xml:space="preserve">Any exclusivity, right of first refusal, or other terms granted to Castle Placement or potential anchor investors.</w:t>
      </w:r>
    </w:p>
    <w:p>
      <w:pPr>
        <w:pStyle w:val="Heading1"/>
      </w:pPr>
      <w:r>
        <w:t xml:space="preserve">4. Financials, Debt &amp; Balance Sheet</w:t>
      </w:r>
    </w:p>
    <w:p>
      <w:pPr>
        <w:pStyle w:val="ListParagraph"/>
        <w:numPr>
          <w:ilvl w:val="0"/>
          <w:numId w:val="2"/>
        </w:numPr>
        <w:spacing w:after="80"/>
      </w:pPr>
      <w:r>
        <w:rPr>
          <w:sz w:val="22"/>
          <w:szCs w:val="22"/>
        </w:rPr>
        <w:t xml:space="preserve">Most recent balance sheet, income statement, and cash flow statement for Fine Mulligans, Inc. and any project-specific entities (Kiwi's Mulligan 1, LLC).</w:t>
      </w:r>
    </w:p>
    <w:p>
      <w:pPr>
        <w:pStyle w:val="ListParagraph"/>
        <w:numPr>
          <w:ilvl w:val="0"/>
          <w:numId w:val="2"/>
        </w:numPr>
        <w:spacing w:after="80"/>
      </w:pPr>
      <w:r>
        <w:rPr>
          <w:sz w:val="22"/>
          <w:szCs w:val="22"/>
        </w:rPr>
        <w:t xml:space="preserve">Detailed schedule of all legacy debt incurred for the Reg A+ process ("wasted borrowed money"), including lenders, amounts, terms, security, and current status.</w:t>
      </w:r>
    </w:p>
    <w:p>
      <w:pPr>
        <w:pStyle w:val="ListParagraph"/>
        <w:numPr>
          <w:ilvl w:val="0"/>
          <w:numId w:val="2"/>
        </w:numPr>
        <w:spacing w:after="80"/>
      </w:pPr>
      <w:r>
        <w:rPr>
          <w:sz w:val="22"/>
          <w:szCs w:val="22"/>
        </w:rPr>
        <w:t xml:space="preserve">Plan for ring-fencing or legally isolating legacy debt from the new JV / project entity so that new capital is not used to repay historical Reg A+ costs.</w:t>
      </w:r>
    </w:p>
    <w:p>
      <w:pPr>
        <w:pStyle w:val="ListParagraph"/>
        <w:numPr>
          <w:ilvl w:val="0"/>
          <w:numId w:val="2"/>
        </w:numPr>
        <w:spacing w:after="160"/>
      </w:pPr>
      <w:r>
        <w:rPr>
          <w:sz w:val="22"/>
          <w:szCs w:val="22"/>
        </w:rPr>
        <w:t xml:space="preserve">Any personal guarantees, liens, or contingent liabilities that could affect the project or new investors.</w:t>
      </w:r>
    </w:p>
    <w:p>
      <w:pPr>
        <w:pStyle w:val="Heading1"/>
      </w:pPr>
      <w:r>
        <w:t xml:space="preserve">5. Operational Partnerships &amp; Project Execution</w:t>
      </w:r>
    </w:p>
    <w:p>
      <w:pPr>
        <w:pStyle w:val="ListParagraph"/>
        <w:numPr>
          <w:ilvl w:val="0"/>
          <w:numId w:val="2"/>
        </w:numPr>
        <w:spacing w:after="80"/>
      </w:pPr>
      <w:r>
        <w:rPr>
          <w:sz w:val="22"/>
          <w:szCs w:val="22"/>
        </w:rPr>
        <w:t xml:space="preserve">Executed or draft agreements / term sheets with Bobby Jones Links (or any golf/venue operator) for management or operations.</w:t>
      </w:r>
    </w:p>
    <w:p>
      <w:pPr>
        <w:pStyle w:val="ListParagraph"/>
        <w:numPr>
          <w:ilvl w:val="0"/>
          <w:numId w:val="2"/>
        </w:numPr>
        <w:spacing w:after="80"/>
      </w:pPr>
      <w:r>
        <w:rPr>
          <w:sz w:val="22"/>
          <w:szCs w:val="22"/>
        </w:rPr>
        <w:t xml:space="preserve">Role, compensation, and any equity or advisory agreements with Niraj Sheth and other board advisors.</w:t>
      </w:r>
    </w:p>
    <w:p>
      <w:pPr>
        <w:pStyle w:val="ListParagraph"/>
        <w:numPr>
          <w:ilvl w:val="0"/>
          <w:numId w:val="2"/>
        </w:numPr>
        <w:spacing w:after="80"/>
      </w:pPr>
      <w:r>
        <w:rPr>
          <w:sz w:val="22"/>
          <w:szCs w:val="22"/>
        </w:rPr>
        <w:t xml:space="preserve">Engagement details and scope with Cherry Bekaert or other tax/accounting advisors.</w:t>
      </w:r>
    </w:p>
    <w:p>
      <w:pPr>
        <w:pStyle w:val="ListParagraph"/>
        <w:numPr>
          <w:ilvl w:val="0"/>
          <w:numId w:val="2"/>
        </w:numPr>
        <w:spacing w:after="80"/>
      </w:pPr>
      <w:r>
        <w:rPr>
          <w:sz w:val="22"/>
          <w:szCs w:val="22"/>
        </w:rPr>
        <w:t xml:space="preserve">Current status of site selection, land acquisition or lease, zoning/entitlements, construction timeline, budget, and general contractor or design-build partner (e.g., Arco or similar).</w:t>
      </w:r>
    </w:p>
    <w:p>
      <w:pPr>
        <w:pStyle w:val="ListParagraph"/>
        <w:numPr>
          <w:ilvl w:val="0"/>
          <w:numId w:val="2"/>
        </w:numPr>
        <w:spacing w:after="160"/>
      </w:pPr>
      <w:r>
        <w:rPr>
          <w:sz w:val="22"/>
          <w:szCs w:val="22"/>
        </w:rPr>
        <w:t xml:space="preserve">Any existing IP, trademarks (KIWI'S MULLLIGAN), or branding assets and ownership confirmation.</w:t>
      </w:r>
    </w:p>
    <w:p>
      <w:pPr>
        <w:pStyle w:val="Heading1"/>
      </w:pPr>
      <w:r>
        <w:t xml:space="preserve">6. Web3 / Tokenization &amp; JV Structure Openness</w:t>
      </w:r>
    </w:p>
    <w:p>
      <w:pPr>
        <w:pStyle w:val="ListParagraph"/>
        <w:numPr>
          <w:ilvl w:val="0"/>
          <w:numId w:val="2"/>
        </w:numPr>
        <w:spacing w:after="80"/>
      </w:pPr>
      <w:r>
        <w:rPr>
          <w:sz w:val="22"/>
          <w:szCs w:val="22"/>
        </w:rPr>
        <w:t xml:space="preserve">Any existing plans, IP, or openness to on-chain fractionalization of equity, revenue-sharing tokens, or RWA structures for the project (on Solana, XRPL, or other chains).</w:t>
      </w:r>
    </w:p>
    <w:p>
      <w:pPr>
        <w:pStyle w:val="ListParagraph"/>
        <w:numPr>
          <w:ilvl w:val="0"/>
          <w:numId w:val="2"/>
        </w:numPr>
        <w:spacing w:after="80"/>
      </w:pPr>
      <w:r>
        <w:rPr>
          <w:sz w:val="22"/>
          <w:szCs w:val="22"/>
        </w:rPr>
        <w:t xml:space="preserve">Willingness to explore UnyKorn's x402 payment protocol for automated yield distribution from venue POS systems (bay fees, F&amp;B, memberships) to tokenized equity holders.</w:t>
      </w:r>
    </w:p>
    <w:p>
      <w:pPr>
        <w:pStyle w:val="ListParagraph"/>
        <w:numPr>
          <w:ilvl w:val="0"/>
          <w:numId w:val="2"/>
        </w:numPr>
        <w:spacing w:after="200"/>
      </w:pPr>
      <w:r>
        <w:rPr>
          <w:sz w:val="22"/>
          <w:szCs w:val="22"/>
        </w:rPr>
        <w:t xml:space="preserve">Preferred JV entity structure (new LLC, SPV, etc.) and governance terms you envision for UnyKorn participation.</w:t>
      </w:r>
    </w:p>
    <w:p>
      <w:pPr>
        <w:spacing w:after="200"/>
      </w:pPr>
      <w:r>
        <w:rPr>
          <w:sz w:val="22"/>
          <w:szCs w:val="22"/>
        </w:rPr>
        <w:t xml:space="preserve">We are prepared to move quickly once these materials are received and reviewed. Our BitGo Enterprise custody infrastructure is ready for sub-organization provisioning (KiwiMulligan1_JV_Portfolio) with 3-of-5 multi-sig and strict whitelisting once legal severance is confirmed. We can also model tokenized equity tranches and yield routing via our existing UnyKorn infrastructure.</w:t>
      </w:r>
    </w:p>
    <w:p>
      <w:pPr>
        <w:spacing w:after="200"/>
      </w:pPr>
      <w:r>
        <w:rPr>
          <w:sz w:val="22"/>
          <w:szCs w:val="22"/>
        </w:rPr>
        <w:t xml:space="preserve">Please confirm receipt of this request and the timeline for response. We look forward to advancing this opportunity in a compliant, transparent, and mutually beneficial manner.</w:t>
      </w:r>
    </w:p>
    <w:p>
      <w:pPr>
        <w:spacing w:after="60"/>
      </w:pPr>
      <w:r>
        <w:rPr>
          <w:sz w:val="22"/>
          <w:szCs w:val="22"/>
        </w:rPr>
        <w:t xml:space="preserve">Best regards,</w:t>
      </w:r>
    </w:p>
    <w:p>
      <w:pPr>
        <w:spacing w:after="60"/>
      </w:pPr>
      <w:r>
        <w:rPr>
          <w:b/>
          <w:bCs/>
          <w:sz w:val="22"/>
          <w:szCs w:val="22"/>
        </w:rPr>
        <w:t xml:space="preserve">Kevan Burns</w:t>
      </w:r>
    </w:p>
    <w:p>
      <w:pPr>
        <w:spacing w:after="60"/>
      </w:pPr>
      <w:r>
        <w:rPr>
          <w:sz w:val="20"/>
          <w:szCs w:val="20"/>
        </w:rPr>
        <w:t xml:space="preserve">Head Engineer &amp; Partner | UnyKorn Ecosystem</w:t>
      </w:r>
    </w:p>
    <w:p>
      <w:pPr>
        <w:spacing w:after="200"/>
      </w:pPr>
      <w:r>
        <w:rPr>
          <w:i/>
          <w:iCs/>
          <w:sz w:val="18"/>
          <w:szCs w:val="18"/>
        </w:rPr>
        <w:t xml:space="preserve">Troptions | FutureTech Holdings | Legacy Vault Protocol | xxxiii.io</w:t>
      </w:r>
    </w:p>
    <w:p>
      <w:pPr>
        <w:spacing w:after="100" w:before="200"/>
      </w:pPr>
      <w:r>
        <w:rPr>
          <w:b/>
          <w:bCs/>
          <w:sz w:val="20"/>
          <w:szCs w:val="20"/>
        </w:rPr>
        <w:t xml:space="preserve">Enclosures:</w:t>
      </w:r>
    </w:p>
    <w:p>
      <w:pPr>
        <w:spacing w:after="60"/>
        <w:ind w:left="360"/>
      </w:pPr>
      <w:r>
        <w:rPr>
          <w:sz w:val="20"/>
          <w:szCs w:val="20"/>
        </w:rPr>
        <w:t xml:space="preserve">• Mutual Non-Disclosure Agreement (MNDA)</w:t>
      </w:r>
    </w:p>
    <w:p>
      <w:pPr>
        <w:ind w:left="360"/>
      </w:pPr>
      <w:r>
        <w:rPr>
          <w:sz w:val="20"/>
          <w:szCs w:val="20"/>
        </w:rPr>
        <w:t xml:space="preserve">• This Information Request List (IRL)</w:t>
      </w:r>
    </w:p>
    <w:sectPr>
      <w:headerReference w:type="default" r:id="rId7"/>
      <w:footerReference w:type="default"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UnyKorn | Kiwi's Mulligan 1, LLC JV — Phase 1 Due Diligence | Page </w:t>
    </w: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CONFIDENTIAL — DUE DILIGENCE INFORMATION REQUEST | #KiwisMulligan1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6"/>
      <w:szCs w:val="26"/>
    </w:rPr>
  </w:style>
  <w:style w:type="paragraph" w:styleId="Heading2">
    <w:name w:val="Heading 2"/>
    <w:basedOn w:val="Normal"/>
    <w:next w:val="Normal"/>
    <w:qFormat/>
    <w:pPr>
      <w:spacing w:after="80" w:before="160"/>
      <w:outlineLvl w:val="1"/>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2026-07-14T09:44:24.291Z</dcterms:created>
  <dcterms:modified xsi:type="dcterms:W3CDTF">2026-07-14T09:44:24.291Z</dcterms:modified>
</cp:coreProperties>
</file>

<file path=docProps/custom.xml><?xml version="1.0" encoding="utf-8"?>
<Properties xmlns="http://schemas.openxmlformats.org/officeDocument/2006/custom-properties" xmlns:vt="http://schemas.openxmlformats.org/officeDocument/2006/docPropsVTypes"/>
</file>